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D3F" w:rsidRPr="00091CEC" w:rsidRDefault="006659F9" w:rsidP="00782D3F">
      <w:pPr>
        <w:autoSpaceDE w:val="0"/>
        <w:autoSpaceDN w:val="0"/>
        <w:adjustRightInd w:val="0"/>
        <w:spacing w:before="240" w:after="240"/>
        <w:jc w:val="both"/>
        <w:rPr>
          <w:rFonts w:ascii="Sylfaen" w:hAnsi="Sylfaen" w:cs="Sylfaen"/>
          <w:b/>
          <w:color w:val="000000"/>
        </w:rPr>
      </w:pPr>
      <w:bookmarkStart w:id="0" w:name="_GoBack"/>
      <w:bookmarkEnd w:id="0"/>
      <w:r>
        <w:rPr>
          <w:rFonts w:ascii="Sylfaen" w:hAnsi="Sylfaen" w:cs="Sylfaen"/>
          <w:b/>
          <w:color w:val="000000"/>
        </w:rPr>
        <w:t>UHC – leave no one behind health</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The performance of health system and its ability to provide services to all without risk of financial hardship must be a fundamental priority. Universal health coverage - is the best way to achieve the health Sustainable Development Goal – and is an important way to expand access to effective health-care services, reduce financial hardship during illness, and improve health outcomes.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w:t>
      </w:r>
      <w:r w:rsidR="005507B2">
        <w:rPr>
          <w:rFonts w:ascii="Sylfaen" w:hAnsi="Sylfaen" w:cs="Sylfaen"/>
          <w:color w:val="000000"/>
          <w:sz w:val="24"/>
          <w:szCs w:val="24"/>
        </w:rPr>
        <w:t>4</w:t>
      </w:r>
      <w:r w:rsidRPr="00091CEC">
        <w:rPr>
          <w:rFonts w:ascii="Sylfaen" w:hAnsi="Sylfaen" w:cs="Sylfaen"/>
          <w:color w:val="000000"/>
          <w:sz w:val="24"/>
          <w:szCs w:val="24"/>
        </w:rPr>
        <w:t>% of the population. The progress is notable. Out of pocket expenses on health and likelihood of impoverishment due to out-of-pocket payments have reduced by 25%, and satisfaction of the population.</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w:t>
      </w:r>
      <w:r w:rsidR="005507B2">
        <w:rPr>
          <w:rFonts w:ascii="Sylfaen" w:hAnsi="Sylfaen" w:cs="Sylfaen"/>
          <w:color w:val="000000"/>
          <w:sz w:val="24"/>
          <w:szCs w:val="24"/>
        </w:rPr>
        <w:t>8</w:t>
      </w:r>
      <w:r w:rsidRPr="00091CEC">
        <w:rPr>
          <w:rFonts w:ascii="Sylfaen" w:hAnsi="Sylfaen" w:cs="Sylfaen"/>
          <w:color w:val="000000"/>
          <w:sz w:val="24"/>
          <w:szCs w:val="24"/>
        </w:rPr>
        <w:t xml:space="preserve"> till </w:t>
      </w:r>
      <w:r w:rsidRPr="00091CEC">
        <w:rPr>
          <w:rFonts w:ascii="Sylfaen" w:hAnsi="Sylfaen" w:cs="Sylfaen"/>
          <w:color w:val="000000"/>
          <w:sz w:val="24"/>
          <w:szCs w:val="24"/>
          <w:lang w:val="ka-GE"/>
        </w:rPr>
        <w:t>3.5</w:t>
      </w:r>
      <w:r w:rsidRPr="00091CEC">
        <w:rPr>
          <w:rFonts w:ascii="Sylfaen" w:hAnsi="Sylfaen" w:cs="Sylfaen"/>
          <w:color w:val="000000"/>
          <w:sz w:val="24"/>
          <w:szCs w:val="24"/>
        </w:rPr>
        <w:t xml:space="preserve"> and exceeded the level recommended by the World Bank for developing countries. The hospitalization rate per 100 inhabitants increased to 11.3 (2012) to </w:t>
      </w:r>
      <w:r w:rsidR="005507B2">
        <w:rPr>
          <w:rFonts w:ascii="Sylfaen" w:hAnsi="Sylfaen" w:cs="Sylfaen"/>
          <w:color w:val="000000"/>
          <w:sz w:val="24"/>
          <w:szCs w:val="24"/>
        </w:rPr>
        <w:t>16.6</w:t>
      </w:r>
      <w:r w:rsidRPr="00091CEC">
        <w:rPr>
          <w:rFonts w:ascii="Sylfaen" w:hAnsi="Sylfaen" w:cs="Sylfaen"/>
          <w:color w:val="000000"/>
          <w:sz w:val="24"/>
          <w:szCs w:val="24"/>
          <w:lang w:val="ka-GE"/>
        </w:rPr>
        <w:t xml:space="preserve"> </w:t>
      </w:r>
      <w:r w:rsidRPr="00091CEC">
        <w:rPr>
          <w:rFonts w:ascii="Sylfaen" w:hAnsi="Sylfaen" w:cs="Sylfaen"/>
          <w:color w:val="000000"/>
          <w:sz w:val="24"/>
          <w:szCs w:val="24"/>
        </w:rPr>
        <w:t>(201</w:t>
      </w:r>
      <w:r w:rsidR="005507B2">
        <w:rPr>
          <w:rFonts w:ascii="Sylfaen" w:hAnsi="Sylfaen" w:cs="Sylfaen"/>
          <w:color w:val="000000"/>
          <w:sz w:val="24"/>
          <w:szCs w:val="24"/>
        </w:rPr>
        <w:t>8</w:t>
      </w:r>
      <w:r w:rsidRPr="00091CEC">
        <w:rPr>
          <w:rFonts w:ascii="Sylfaen" w:hAnsi="Sylfaen" w:cs="Sylfaen"/>
          <w:color w:val="000000"/>
          <w:sz w:val="24"/>
          <w:szCs w:val="24"/>
        </w:rPr>
        <w:t>).</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In this regard I want to highlight our key developments: In July 2017, the Georgian Ministry of Labor, Health, and Social Affairs introduced policies for enhanced protection for poorer and sicker people</w:t>
      </w:r>
      <w:r w:rsidRPr="00091CEC">
        <w:rPr>
          <w:rFonts w:ascii="Sylfaen" w:hAnsi="Sylfaen" w:cs="Sylfaen"/>
          <w:color w:val="000000"/>
          <w:sz w:val="24"/>
          <w:szCs w:val="24"/>
          <w:lang w:val="ka-GE"/>
        </w:rPr>
        <w:t xml:space="preserve">, </w:t>
      </w:r>
      <w:r w:rsidRPr="00091CEC">
        <w:rPr>
          <w:rFonts w:ascii="Sylfaen" w:hAnsi="Sylfaen" w:cs="Sylfaen"/>
          <w:color w:val="000000"/>
          <w:sz w:val="24"/>
          <w:szCs w:val="24"/>
        </w:rPr>
        <w:t>disable people, pensioners by expanding their benefit package and including medicines for major Non-Communicable Diseases – cardio-vascular, type 2 diabetes, obstructive pulmonary disease, thyroid conditions,  which together with cancer account for more than 80 percent of th</w:t>
      </w:r>
      <w:r w:rsidR="005507B2">
        <w:rPr>
          <w:rFonts w:ascii="Sylfaen" w:hAnsi="Sylfaen" w:cs="Sylfaen"/>
          <w:color w:val="000000"/>
          <w:sz w:val="24"/>
          <w:szCs w:val="24"/>
        </w:rPr>
        <w:t>e burden of disease in Georgia.</w:t>
      </w:r>
    </w:p>
    <w:p w:rsidR="00101EE6" w:rsidRPr="006659F9" w:rsidRDefault="00773E14" w:rsidP="00091CEC">
      <w:pPr>
        <w:autoSpaceDE w:val="0"/>
        <w:autoSpaceDN w:val="0"/>
        <w:adjustRightInd w:val="0"/>
        <w:jc w:val="both"/>
        <w:rPr>
          <w:rFonts w:ascii="Sylfaen" w:hAnsi="Sylfaen" w:cs="Sylfaen"/>
          <w:b/>
          <w:color w:val="000000"/>
          <w:sz w:val="24"/>
          <w:szCs w:val="24"/>
        </w:rPr>
      </w:pPr>
      <w:r>
        <w:rPr>
          <w:rFonts w:ascii="Sylfaen" w:hAnsi="Sylfaen" w:cs="Sylfaen"/>
          <w:b/>
          <w:color w:val="000000"/>
          <w:sz w:val="24"/>
          <w:szCs w:val="24"/>
        </w:rPr>
        <w:lastRenderedPageBreak/>
        <w:t xml:space="preserve">Universal access on Hep C treatment - </w:t>
      </w:r>
      <w:r w:rsidR="00101EE6" w:rsidRPr="006659F9">
        <w:rPr>
          <w:rFonts w:ascii="Sylfaen" w:hAnsi="Sylfaen" w:cs="Sylfaen"/>
          <w:b/>
          <w:color w:val="000000"/>
          <w:sz w:val="24"/>
          <w:szCs w:val="24"/>
        </w:rPr>
        <w:t>Hep C Elimination</w:t>
      </w:r>
    </w:p>
    <w:p w:rsidR="00773E14" w:rsidRPr="00773E14"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Achieving universal health coverage is an ambitious goal, but it is one that can and must be achieved to create a healthier and more equitable world.</w:t>
      </w:r>
      <w:r w:rsidRPr="00773E14">
        <w:rPr>
          <w:rFonts w:ascii="Sylfaen" w:hAnsi="Sylfaen" w:cs="Sylfaen"/>
          <w:color w:val="000000"/>
          <w:sz w:val="24"/>
          <w:szCs w:val="24"/>
        </w:rPr>
        <w:t> </w:t>
      </w:r>
      <w:r w:rsidR="00773E14" w:rsidRPr="00773E14">
        <w:rPr>
          <w:rFonts w:ascii="Sylfaen" w:hAnsi="Sylfaen" w:cs="Sylfaen"/>
          <w:color w:val="000000"/>
          <w:sz w:val="24"/>
          <w:szCs w:val="24"/>
        </w:rPr>
        <w:t xml:space="preserve">Hepatitis C virus (HCV) infection is a major public health burden in many parts of the world, including Georgia. Georgia is a middle-income country with a population of 3.7 million people. Recognizing a growing HCV burden, financial barriers for population to receive modern treatment regimens and expensive medications, the Government of Georgia stepped up its efforts to combat this extremely dangerous public health threat through elimination of Hepatitis C in the whole country and started intensive negotiations with different stakeholders. </w:t>
      </w:r>
    </w:p>
    <w:p w:rsidR="00091CEC" w:rsidRDefault="00773E14" w:rsidP="00091CEC">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 xml:space="preserve">As a result, In 2015 </w:t>
      </w:r>
      <w:r w:rsidRPr="00091CEC">
        <w:rPr>
          <w:rFonts w:ascii="Sylfaen" w:hAnsi="Sylfaen" w:cs="Sylfaen"/>
          <w:color w:val="000000"/>
          <w:sz w:val="24"/>
          <w:szCs w:val="24"/>
        </w:rPr>
        <w:t xml:space="preserve">by the Ministry with support of international partners US CDC, WHO and pharmaceutical company Gilead Sciences - the world first Hepatitis C elimination program was launched, which is the risk of a slow progression to chronic liver disease, cancer, and death. Some wards recent progress and the numbers: </w:t>
      </w:r>
      <w:r>
        <w:rPr>
          <w:rFonts w:ascii="Sylfaen" w:hAnsi="Sylfaen" w:cs="Sylfaen"/>
          <w:color w:val="000000"/>
          <w:sz w:val="24"/>
          <w:szCs w:val="24"/>
        </w:rPr>
        <w:t>these are not only the numbers, b</w:t>
      </w:r>
      <w:r w:rsidR="00091CEC" w:rsidRPr="00091CEC">
        <w:rPr>
          <w:rFonts w:ascii="Sylfaen" w:hAnsi="Sylfaen" w:cs="Sylfaen"/>
          <w:color w:val="000000"/>
          <w:sz w:val="24"/>
          <w:szCs w:val="24"/>
        </w:rPr>
        <w:t xml:space="preserve">eyond these numbers are people's lives, their families and prospects for an entire society. In just 4 years, was screened 2 mill persons, enrolled over </w:t>
      </w:r>
      <w:r>
        <w:rPr>
          <w:rFonts w:ascii="Sylfaen" w:hAnsi="Sylfaen" w:cs="Sylfaen"/>
          <w:color w:val="000000"/>
          <w:sz w:val="24"/>
          <w:szCs w:val="24"/>
        </w:rPr>
        <w:t>60</w:t>
      </w:r>
      <w:r w:rsidR="00091CEC" w:rsidRPr="00091CEC">
        <w:rPr>
          <w:rFonts w:ascii="Sylfaen" w:hAnsi="Sylfaen" w:cs="Sylfaen"/>
          <w:color w:val="000000"/>
          <w:sz w:val="24"/>
          <w:szCs w:val="24"/>
        </w:rPr>
        <w:t xml:space="preserve"> and over </w:t>
      </w:r>
      <w:r>
        <w:rPr>
          <w:rFonts w:ascii="Sylfaen" w:hAnsi="Sylfaen" w:cs="Sylfaen"/>
          <w:color w:val="000000"/>
          <w:sz w:val="24"/>
          <w:szCs w:val="24"/>
        </w:rPr>
        <w:t>54</w:t>
      </w:r>
      <w:r w:rsidR="00091CEC" w:rsidRPr="00091CEC">
        <w:rPr>
          <w:rFonts w:ascii="Sylfaen" w:hAnsi="Sylfaen" w:cs="Sylfaen"/>
          <w:color w:val="000000"/>
          <w:sz w:val="24"/>
          <w:szCs w:val="24"/>
        </w:rPr>
        <w:t>000 completed the treatment with free high-quality Hepatitis C drugs - Harvoni, provided by Gilead. We have over 98</w:t>
      </w:r>
      <w:r>
        <w:rPr>
          <w:rFonts w:ascii="Sylfaen" w:hAnsi="Sylfaen" w:cs="Sylfaen"/>
          <w:color w:val="000000"/>
          <w:sz w:val="24"/>
          <w:szCs w:val="24"/>
        </w:rPr>
        <w:t>.6</w:t>
      </w:r>
      <w:r w:rsidR="00091CEC" w:rsidRPr="00091CEC">
        <w:rPr>
          <w:rFonts w:ascii="Sylfaen" w:hAnsi="Sylfaen" w:cs="Sylfaen"/>
          <w:color w:val="000000"/>
          <w:sz w:val="24"/>
          <w:szCs w:val="24"/>
        </w:rPr>
        <w:t xml:space="preserve">% treatment success rate and the best coverage - 30% when the world's rate is 7-9%. </w:t>
      </w:r>
    </w:p>
    <w:p w:rsidR="00773E14" w:rsidRPr="00773E14" w:rsidRDefault="00773E14" w:rsidP="00773E14">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In 2016, the World Health Assembly endorsed the Draft Global Health Sector Strategies</w:t>
      </w:r>
      <w:r w:rsidRPr="00773E14">
        <w:rPr>
          <w:rFonts w:ascii="Sylfaen" w:hAnsi="Sylfaen" w:cs="Sylfaen"/>
          <w:color w:val="000000"/>
          <w:sz w:val="24"/>
        </w:rPr>
        <w:endnoteReference w:id="1"/>
      </w:r>
      <w:r w:rsidRPr="00773E14">
        <w:rPr>
          <w:rFonts w:ascii="Sylfaen" w:hAnsi="Sylfaen" w:cs="Sylfaen"/>
          <w:color w:val="000000"/>
          <w:sz w:val="24"/>
          <w:szCs w:val="24"/>
        </w:rPr>
        <w:t xml:space="preserve"> for hepatitis prevention that includes goals for the elimination of hepatitis C as a public health threat by 2030, with interim measures by 2020. Georgia’s HCV elimination program model could provide important lessons for the future initiatives to control HCV infection worldwide, particularly as testing is simplified, treatment becomes more affordable, and more countries seek to address the growing prevalence of HCV infection. </w:t>
      </w:r>
    </w:p>
    <w:p w:rsidR="00773E14" w:rsidRPr="00773E14" w:rsidRDefault="00773E14" w:rsidP="00773E14">
      <w:pPr>
        <w:autoSpaceDE w:val="0"/>
        <w:autoSpaceDN w:val="0"/>
        <w:adjustRightInd w:val="0"/>
        <w:jc w:val="both"/>
        <w:rPr>
          <w:rFonts w:ascii="Sylfaen" w:hAnsi="Sylfaen" w:cs="Sylfaen"/>
          <w:color w:val="000000"/>
          <w:sz w:val="24"/>
          <w:szCs w:val="24"/>
        </w:rPr>
      </w:pPr>
      <w:r w:rsidRPr="00773E14">
        <w:rPr>
          <w:rFonts w:ascii="Sylfaen" w:hAnsi="Sylfaen" w:cs="Sylfaen"/>
          <w:color w:val="000000"/>
          <w:sz w:val="24"/>
          <w:szCs w:val="24"/>
        </w:rPr>
        <w:t>Georgia was awarded the title of NOhep Visionary for the European Region at the World Hepatitis Summit in Sao Paulo, Brazil, on November 1st, 2017. The NOhep Visionaries Programme is a global campaign which engages governments to scale up successful approaches to elimination and share key learnings, accelerating progress towards eliminating viral hepatitis by 2030.</w:t>
      </w:r>
    </w:p>
    <w:p w:rsidR="00D362A2" w:rsidRDefault="00D362A2" w:rsidP="005507B2">
      <w:pPr>
        <w:autoSpaceDE w:val="0"/>
        <w:autoSpaceDN w:val="0"/>
        <w:adjustRightInd w:val="0"/>
        <w:jc w:val="both"/>
        <w:rPr>
          <w:rFonts w:ascii="Sylfaen" w:hAnsi="Sylfaen" w:cs="Sylfaen"/>
          <w:color w:val="000000"/>
          <w:sz w:val="24"/>
          <w:szCs w:val="24"/>
        </w:rPr>
      </w:pPr>
    </w:p>
    <w:p w:rsidR="00D362A2" w:rsidRPr="00D362A2" w:rsidRDefault="00D362A2" w:rsidP="00D362A2">
      <w:pPr>
        <w:autoSpaceDE w:val="0"/>
        <w:autoSpaceDN w:val="0"/>
        <w:adjustRightInd w:val="0"/>
        <w:jc w:val="both"/>
        <w:rPr>
          <w:rFonts w:ascii="Sylfaen" w:hAnsi="Sylfaen" w:cs="Sylfaen"/>
          <w:b/>
          <w:color w:val="000000"/>
          <w:sz w:val="24"/>
          <w:szCs w:val="24"/>
        </w:rPr>
      </w:pPr>
      <w:r w:rsidRPr="00D362A2">
        <w:rPr>
          <w:rFonts w:ascii="Sylfaen" w:hAnsi="Sylfaen" w:cs="Sylfaen"/>
          <w:b/>
          <w:color w:val="000000"/>
          <w:sz w:val="24"/>
          <w:szCs w:val="24"/>
        </w:rPr>
        <w:t>Georgia's main achievements in the fight against HIV, TB and malaria</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Over the last five years Georgia has made a significant progress in fight against HIV and TB. As for Malaria, the country was declared as Malaria free in 2011</w:t>
      </w:r>
      <w:r w:rsidR="00C70B6C">
        <w:rPr>
          <w:rFonts w:ascii="Sylfaen" w:hAnsi="Sylfaen" w:cs="Sylfaen"/>
          <w:color w:val="000000"/>
          <w:sz w:val="24"/>
          <w:szCs w:val="24"/>
        </w:rPr>
        <w:t xml:space="preserve"> and we only deal with a few </w:t>
      </w:r>
      <w:r w:rsidRPr="00D362A2">
        <w:rPr>
          <w:rFonts w:ascii="Sylfaen" w:hAnsi="Sylfaen" w:cs="Sylfaen"/>
          <w:color w:val="000000"/>
          <w:sz w:val="24"/>
          <w:szCs w:val="24"/>
        </w:rPr>
        <w:lastRenderedPageBreak/>
        <w:t xml:space="preserve">number of imported cases individually. Substantial increase in access to quality TB and HIV services allowed for dramatic remarkable improvements in terms of stabilizing the spread and improving treatment outcomes. The epidemic curves for both diseases show decline in frequency of new cases. And the epidemiological analysis proves that this is a true decline. The most important achievements in TB were rapid expansion of molecular diagnostic technologies countrywide and programmatic implementation of new TB drugs (Bedaqualine in 2015).  </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 xml:space="preserve">Currently, Georgia finds and puts on treatment 98% of estimated cases with drug resistant. Treatment outcomes for extremely drug resistant cases, that </w:t>
      </w:r>
      <w:r w:rsidR="00C70B6C" w:rsidRPr="00D362A2">
        <w:rPr>
          <w:rFonts w:ascii="Sylfaen" w:hAnsi="Sylfaen" w:cs="Sylfaen"/>
          <w:color w:val="000000"/>
          <w:sz w:val="24"/>
          <w:szCs w:val="24"/>
        </w:rPr>
        <w:t>were</w:t>
      </w:r>
      <w:r w:rsidRPr="00D362A2">
        <w:rPr>
          <w:rFonts w:ascii="Sylfaen" w:hAnsi="Sylfaen" w:cs="Sylfaen"/>
          <w:color w:val="000000"/>
          <w:sz w:val="24"/>
          <w:szCs w:val="24"/>
        </w:rPr>
        <w:t xml:space="preserve"> the major challenge, increased from 32% in 2014 cohort to </w:t>
      </w:r>
      <w:r w:rsidR="00C70B6C">
        <w:rPr>
          <w:rFonts w:ascii="Sylfaen" w:hAnsi="Sylfaen" w:cs="Sylfaen"/>
          <w:color w:val="000000"/>
          <w:sz w:val="24"/>
          <w:szCs w:val="24"/>
        </w:rPr>
        <w:t>67</w:t>
      </w:r>
      <w:r w:rsidRPr="00D362A2">
        <w:rPr>
          <w:rFonts w:ascii="Sylfaen" w:hAnsi="Sylfaen" w:cs="Sylfaen"/>
          <w:color w:val="000000"/>
          <w:sz w:val="24"/>
          <w:szCs w:val="24"/>
        </w:rPr>
        <w:t>% in 201</w:t>
      </w:r>
      <w:r w:rsidR="00C70B6C">
        <w:rPr>
          <w:rFonts w:ascii="Sylfaen" w:hAnsi="Sylfaen" w:cs="Sylfaen"/>
          <w:color w:val="000000"/>
          <w:sz w:val="24"/>
          <w:szCs w:val="24"/>
        </w:rPr>
        <w:t>8</w:t>
      </w:r>
      <w:r w:rsidRPr="00D362A2">
        <w:rPr>
          <w:rFonts w:ascii="Sylfaen" w:hAnsi="Sylfaen" w:cs="Sylfaen"/>
          <w:color w:val="000000"/>
          <w:sz w:val="24"/>
          <w:szCs w:val="24"/>
        </w:rPr>
        <w:t xml:space="preserve"> cohort. The ministry has been supporting a number of innovative initiatives for active case finding and treatment supported by community based organizations and former TB patients. Mobile DOT clinics and new outpatient service points were established to support greater integration of TB services into primary care and move away from hospital based treatment as soon as possible. </w:t>
      </w:r>
    </w:p>
    <w:p w:rsidR="00D362A2" w:rsidRPr="00D362A2" w:rsidRDefault="00D362A2" w:rsidP="00D362A2">
      <w:pPr>
        <w:autoSpaceDE w:val="0"/>
        <w:autoSpaceDN w:val="0"/>
        <w:adjustRightInd w:val="0"/>
        <w:jc w:val="both"/>
        <w:rPr>
          <w:rFonts w:ascii="Sylfaen" w:hAnsi="Sylfaen" w:cs="Sylfaen"/>
          <w:color w:val="000000"/>
          <w:sz w:val="24"/>
          <w:szCs w:val="24"/>
        </w:rPr>
      </w:pPr>
      <w:r w:rsidRPr="00D362A2">
        <w:rPr>
          <w:rFonts w:ascii="Sylfaen" w:hAnsi="Sylfaen" w:cs="Sylfaen"/>
          <w:color w:val="000000"/>
          <w:sz w:val="24"/>
          <w:szCs w:val="24"/>
        </w:rPr>
        <w:t>As for HIV, the National HIV Treatment Program in Georgia is recognized by the international experts as one of the best in the region as it provides universal access to HIV prevention, diagnostics and treatment and ensures high coverage of target populations. Georgia was one of the first in the region to start implementation of WHO “Treat ALL” strategy in 2015.</w:t>
      </w:r>
    </w:p>
    <w:p w:rsidR="00D362A2" w:rsidRPr="001D12AB" w:rsidRDefault="00C70B6C" w:rsidP="00D362A2">
      <w:pPr>
        <w:autoSpaceDE w:val="0"/>
        <w:autoSpaceDN w:val="0"/>
        <w:adjustRightInd w:val="0"/>
        <w:jc w:val="both"/>
        <w:rPr>
          <w:lang w:val="en-GB"/>
        </w:rPr>
      </w:pPr>
      <w:r>
        <w:rPr>
          <w:rFonts w:ascii="Sylfaen" w:hAnsi="Sylfaen" w:cs="Sylfaen"/>
          <w:color w:val="000000"/>
          <w:sz w:val="24"/>
          <w:szCs w:val="24"/>
        </w:rPr>
        <w:t>Country is</w:t>
      </w:r>
      <w:r w:rsidR="00D362A2" w:rsidRPr="00D362A2">
        <w:rPr>
          <w:rFonts w:ascii="Sylfaen" w:hAnsi="Sylfaen" w:cs="Sylfaen"/>
          <w:color w:val="000000"/>
          <w:sz w:val="24"/>
          <w:szCs w:val="24"/>
        </w:rPr>
        <w:t xml:space="preserve"> on track for achieving last two targets for UNAIDS 90-90-90 Fast Track. However, it is lagging on the first 90: by the end of 2018, 64% of estimated persons living with HIV knew their status, while 76% were enrolled in ART and 81% achieved viral suppression. Intensive work is underway to improve HIV detection and sustain achievements in treatment program and address remaining challenges</w:t>
      </w:r>
      <w:r w:rsidR="00D362A2">
        <w:rPr>
          <w:lang w:val="en-GB"/>
        </w:rPr>
        <w:t xml:space="preserve">. </w:t>
      </w:r>
    </w:p>
    <w:p w:rsidR="00815AA8" w:rsidRDefault="00815AA8" w:rsidP="00815AA8">
      <w:pPr>
        <w:autoSpaceDE w:val="0"/>
        <w:autoSpaceDN w:val="0"/>
        <w:adjustRightInd w:val="0"/>
        <w:jc w:val="both"/>
        <w:rPr>
          <w:rFonts w:ascii="Sylfaen" w:hAnsi="Sylfaen" w:cs="Sylfaen"/>
          <w:b/>
          <w:color w:val="000000"/>
          <w:sz w:val="24"/>
          <w:szCs w:val="24"/>
        </w:rPr>
      </w:pPr>
    </w:p>
    <w:p w:rsidR="00815AA8" w:rsidRPr="00773E14" w:rsidRDefault="00815AA8" w:rsidP="00815AA8">
      <w:pPr>
        <w:autoSpaceDE w:val="0"/>
        <w:autoSpaceDN w:val="0"/>
        <w:adjustRightInd w:val="0"/>
        <w:jc w:val="both"/>
        <w:rPr>
          <w:rFonts w:ascii="Sylfaen" w:hAnsi="Sylfaen" w:cs="Sylfaen"/>
          <w:b/>
          <w:color w:val="000000"/>
          <w:sz w:val="24"/>
          <w:szCs w:val="24"/>
        </w:rPr>
      </w:pPr>
      <w:r w:rsidRPr="00773E14">
        <w:rPr>
          <w:rFonts w:ascii="Sylfaen" w:hAnsi="Sylfaen" w:cs="Sylfaen"/>
          <w:b/>
          <w:color w:val="000000"/>
          <w:sz w:val="24"/>
          <w:szCs w:val="24"/>
        </w:rPr>
        <w:t>Maternal and child health</w:t>
      </w:r>
    </w:p>
    <w:p w:rsidR="00815AA8" w:rsidRDefault="00815AA8" w:rsidP="00815AA8">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With towards achieving the 2030 Agenda for Sustainable Development - leaving no one behind, The Ministry sharper focuses on innovative approaches for improving maternal and child health, and reproductive health. Georgia has made a steady progress in health outcomes for mothers and children.  Country are having is not only on increasing access to care, but also on improving quality of care provided to women and children through services regionalization, quality and effectiveness of care measurement, and better regulations. </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lastRenderedPageBreak/>
        <w:t xml:space="preserve">Georgia managed to reduce under–five mortality rate to 10.2 per 1000 live births by 2015 thus accomplishing the Millennium Development Goal №4 (MDG) set at the 2000 Millennium Summit: Reduce by two-thirds, between 1990 and 2015, the under-five mortality rate. </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2015, the 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Also, selective contracting of perinatal care providers has been launched. In 2017, the lowest mortality rate of maternal mortality has been observed in recent years – 13.1 /100 000 live birth.</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2017, a comprehensive long-term (2017-2030) Maternal and new born Health Care Strategy has been approved, which defines next 14 years’ state policy of maternal and new born health, family planning, sexual and reproductive health.</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 xml:space="preserve">From June 2014, all pregnant women, before the 13th week of pregnancy, are provided with folic acid and iron supplements in case of iron deficiency. New born (6-23 months) are provided with food supplements containing microelements. </w:t>
      </w:r>
    </w:p>
    <w:p w:rsidR="00815AA8" w:rsidRPr="005507B2"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the specific treatment of pregnant women with syphilis has started. From 2018, pregnant women registered within the Antenatal Care Program are provided with 8 visits instead of 4. Also, selective contracting of antenatal care providers has been started.</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MoLHSA in alliance with NCDC launched the nationwide electronic registry “Mother’s and neonate’s health surveillance system”, so called “Georgian Birth Registry” (GBR). The system tracks information on all cases of pregnancy, delivery, postpartum, neonatal care and abortion.</w:t>
      </w:r>
    </w:p>
    <w:p w:rsidR="00D362A2" w:rsidRPr="00815AA8" w:rsidRDefault="00D362A2" w:rsidP="005507B2">
      <w:pPr>
        <w:autoSpaceDE w:val="0"/>
        <w:autoSpaceDN w:val="0"/>
        <w:adjustRightInd w:val="0"/>
        <w:jc w:val="both"/>
        <w:rPr>
          <w:rFonts w:ascii="Sylfaen" w:hAnsi="Sylfaen" w:cs="Sylfaen"/>
          <w:b/>
          <w:color w:val="000000"/>
          <w:sz w:val="24"/>
          <w:szCs w:val="24"/>
        </w:rPr>
      </w:pPr>
    </w:p>
    <w:p w:rsidR="00FA2EB2" w:rsidRDefault="00FA2EB2" w:rsidP="005507B2">
      <w:pPr>
        <w:autoSpaceDE w:val="0"/>
        <w:autoSpaceDN w:val="0"/>
        <w:adjustRightInd w:val="0"/>
        <w:jc w:val="both"/>
        <w:rPr>
          <w:rFonts w:ascii="Sylfaen" w:hAnsi="Sylfaen" w:cs="Sylfaen"/>
          <w:b/>
          <w:color w:val="000000"/>
          <w:sz w:val="24"/>
          <w:szCs w:val="24"/>
        </w:rPr>
      </w:pPr>
      <w:r>
        <w:rPr>
          <w:rFonts w:ascii="Sylfaen" w:hAnsi="Sylfaen" w:cs="Sylfaen"/>
          <w:b/>
          <w:color w:val="000000"/>
          <w:sz w:val="24"/>
          <w:szCs w:val="24"/>
        </w:rPr>
        <w:t>Mental health</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Improving mental health is one of the priorities for the development of the health care system. Since 1995, Georgia has been implementing a state mental health program, which is fully funded by mental health services.</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In 2013, the Parliament of Georgia also approved the ”State Concept on Mental Health Care" that declares: Georgia recognizes the significance of mental health care and has for the first time approved a State Concept on Mental Health Care, which is a policy document on mental </w:t>
      </w:r>
      <w:r w:rsidRPr="00FA2EB2">
        <w:rPr>
          <w:rFonts w:ascii="Sylfaen" w:hAnsi="Sylfaen" w:cs="Sylfaen"/>
          <w:color w:val="000000"/>
          <w:sz w:val="24"/>
          <w:szCs w:val="24"/>
        </w:rPr>
        <w:lastRenderedPageBreak/>
        <w:t>health issues and represents a joint vision of the Government of Georgia and civil society for the development of this sphere over the nearest 10 years. Its principal purpose is to assist all stakeholders to find their place in accordance with requirements, as well as their capabilities and interests, and achieve maximum results in the development and operation of the mental health sector.</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State Concept entails important fundamental principles that are fully in accord with present-day work on human rights and policy and legal provisions to reduce discrimination against people with mental illness. </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In December of 2014 “National Strategy and Action Plan (NAP) for 2015-2020 was adopted by the Government of Georgia which sets strategic objectives and policy directions for improving 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community-based centers and mobile teams to help support people with mental health problems.</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County has a State Concept and strategy that is clear, concise and fully in line with international evidence and experience. However, the next stage Implementation of the strategy and action Plan is even more important.</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The National Action Plan plans to create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In 2016, Government of Georgia has institutionalized all goals of SDG and also health related 3th Goal.</w:t>
      </w:r>
    </w:p>
    <w:p w:rsidR="00FA2EB2" w:rsidRP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 xml:space="preserve">To achieve the SDG 3.4 target, state funding for mental health services has significantly increased in 2018 and 2019.  The State allocation of the Mental Health Program has been increased previous two years by 5 million and comprised 21 million in total. </w:t>
      </w:r>
    </w:p>
    <w:p w:rsidR="00FA2EB2" w:rsidRDefault="00FA2EB2" w:rsidP="00FA2EB2">
      <w:pPr>
        <w:autoSpaceDE w:val="0"/>
        <w:autoSpaceDN w:val="0"/>
        <w:adjustRightInd w:val="0"/>
        <w:jc w:val="both"/>
        <w:rPr>
          <w:rFonts w:ascii="Sylfaen" w:hAnsi="Sylfaen" w:cs="Sylfaen"/>
          <w:color w:val="000000"/>
          <w:sz w:val="24"/>
          <w:szCs w:val="24"/>
        </w:rPr>
      </w:pPr>
      <w:r w:rsidRPr="00FA2EB2">
        <w:rPr>
          <w:rFonts w:ascii="Sylfaen" w:hAnsi="Sylfaen" w:cs="Sylfaen"/>
          <w:color w:val="000000"/>
          <w:sz w:val="24"/>
          <w:szCs w:val="24"/>
        </w:rPr>
        <w:t>Financing of community-based services has been increased. In particular, 54% of the budget resources has been directed to community-based services. The budget of the community-based mental health services was determined in accordance with the number of populations in bounded area and throughout the country about 3</w:t>
      </w:r>
      <w:r>
        <w:rPr>
          <w:rFonts w:ascii="Sylfaen" w:hAnsi="Sylfaen" w:cs="Sylfaen"/>
          <w:color w:val="000000"/>
          <w:sz w:val="24"/>
          <w:szCs w:val="24"/>
        </w:rPr>
        <w:t>2</w:t>
      </w:r>
      <w:r w:rsidRPr="00FA2EB2">
        <w:rPr>
          <w:rFonts w:ascii="Sylfaen" w:hAnsi="Sylfaen" w:cs="Sylfaen"/>
          <w:color w:val="000000"/>
          <w:sz w:val="24"/>
          <w:szCs w:val="24"/>
        </w:rPr>
        <w:t xml:space="preserve"> community-based mobile teams is </w:t>
      </w:r>
      <w:r w:rsidRPr="00FA2EB2">
        <w:rPr>
          <w:rFonts w:ascii="Sylfaen" w:hAnsi="Sylfaen" w:cs="Sylfaen"/>
          <w:color w:val="000000"/>
          <w:sz w:val="24"/>
          <w:szCs w:val="24"/>
        </w:rPr>
        <w:lastRenderedPageBreak/>
        <w:t xml:space="preserve">financed (last year only 3 mobile teams were financed). The budget for each mobile team is also increased and as a result, more beneficiaries will be able to use the mental health services in Tbilisi and in the regions as well. </w:t>
      </w:r>
    </w:p>
    <w:p w:rsidR="00815AA8" w:rsidRPr="0027695A" w:rsidRDefault="0027695A" w:rsidP="00FA2EB2">
      <w:pPr>
        <w:autoSpaceDE w:val="0"/>
        <w:autoSpaceDN w:val="0"/>
        <w:adjustRightInd w:val="0"/>
        <w:jc w:val="both"/>
        <w:rPr>
          <w:rFonts w:ascii="Sylfaen" w:hAnsi="Sylfaen" w:cs="Sylfaen"/>
          <w:b/>
          <w:color w:val="000000"/>
          <w:sz w:val="24"/>
          <w:szCs w:val="24"/>
        </w:rPr>
      </w:pPr>
      <w:r w:rsidRPr="0027695A">
        <w:rPr>
          <w:rFonts w:ascii="Sylfaen" w:hAnsi="Sylfaen" w:cs="Sylfaen"/>
          <w:b/>
          <w:color w:val="000000"/>
          <w:sz w:val="24"/>
          <w:szCs w:val="24"/>
        </w:rPr>
        <w:t>Tobacco</w:t>
      </w:r>
    </w:p>
    <w:p w:rsidR="0027695A" w:rsidRDefault="0027695A" w:rsidP="0027695A">
      <w:pPr>
        <w:autoSpaceDE w:val="0"/>
        <w:autoSpaceDN w:val="0"/>
        <w:adjustRightInd w:val="0"/>
        <w:jc w:val="both"/>
        <w:rPr>
          <w:rFonts w:ascii="Sylfaen" w:hAnsi="Sylfaen" w:cs="Sylfaen"/>
          <w:color w:val="000000"/>
          <w:sz w:val="24"/>
          <w:szCs w:val="24"/>
        </w:rPr>
      </w:pPr>
      <w:r w:rsidRPr="0027695A">
        <w:rPr>
          <w:rFonts w:ascii="Sylfaen" w:hAnsi="Sylfaen" w:cs="Sylfaen"/>
          <w:color w:val="000000"/>
          <w:sz w:val="24"/>
          <w:szCs w:val="24"/>
        </w:rPr>
        <w:t xml:space="preserve">In 2013 in order to address the devastating health and economic burden of the growing tobacco epidemic in the country, the Government of Georgia created the State Tobacco Control Committee. The Committee is chaired by the Prime Minister of Georgia. The goal of the Committee was to develop and advocate new tobacco control policies, which is in line with the World Health Organization (WHO) Framework Convention on Tobacco Control (FCTC) and with the standards of the European Union. </w:t>
      </w:r>
    </w:p>
    <w:p w:rsidR="00D662DD" w:rsidRPr="00D662DD" w:rsidRDefault="00D662DD" w:rsidP="00D662DD">
      <w:pPr>
        <w:autoSpaceDE w:val="0"/>
        <w:autoSpaceDN w:val="0"/>
        <w:adjustRightInd w:val="0"/>
        <w:jc w:val="both"/>
        <w:rPr>
          <w:rFonts w:ascii="Sylfaen" w:hAnsi="Sylfaen" w:cs="Sylfaen"/>
          <w:color w:val="000000"/>
          <w:sz w:val="24"/>
          <w:szCs w:val="24"/>
        </w:rPr>
      </w:pPr>
      <w:r w:rsidRPr="00D662DD">
        <w:rPr>
          <w:rFonts w:ascii="Sylfaen" w:hAnsi="Sylfaen" w:cs="Sylfaen"/>
          <w:color w:val="000000"/>
          <w:sz w:val="24"/>
          <w:szCs w:val="24"/>
        </w:rPr>
        <w:t>Quite a serious success has been achieved since May 1, 2017 the new Tobacco Control laws are in force. Georgia has been selected as a FCTC2030 project Partner Party among other 14 countries that is a new initiative of WHO FCTC Secretariat to directly help countries to scale up tobacco control measures. One of the selection criteria was the motivation of the country to advance tobacco control and demonstration of some significant achievements in this regard.</w:t>
      </w:r>
    </w:p>
    <w:p w:rsidR="0027695A" w:rsidRDefault="0027695A" w:rsidP="0027695A">
      <w:pPr>
        <w:autoSpaceDE w:val="0"/>
        <w:autoSpaceDN w:val="0"/>
        <w:adjustRightInd w:val="0"/>
        <w:jc w:val="both"/>
        <w:rPr>
          <w:rFonts w:ascii="Sylfaen" w:hAnsi="Sylfaen" w:cs="Sylfaen"/>
          <w:color w:val="000000"/>
          <w:sz w:val="24"/>
          <w:szCs w:val="24"/>
        </w:rPr>
      </w:pPr>
      <w:r w:rsidRPr="0027695A">
        <w:rPr>
          <w:rFonts w:ascii="Sylfaen" w:hAnsi="Sylfaen" w:cs="Sylfaen"/>
          <w:color w:val="000000"/>
          <w:sz w:val="24"/>
          <w:szCs w:val="24"/>
        </w:rPr>
        <w:t xml:space="preserve">The National Center for Disease Control and Public Health (NCDC) is implementing the State Program on Health Promotion, the largest component of which is tobacco control, including media campaign, training of Quitline staff and PHC providers, monitoring of enforcement of smoke-free legislation in public premises, developing a tobacco cessation mobile application and school educational materials. </w:t>
      </w:r>
    </w:p>
    <w:p w:rsidR="0027695A" w:rsidRPr="00FA2EB2" w:rsidRDefault="0027695A" w:rsidP="00FA2EB2">
      <w:pPr>
        <w:autoSpaceDE w:val="0"/>
        <w:autoSpaceDN w:val="0"/>
        <w:adjustRightInd w:val="0"/>
        <w:jc w:val="both"/>
        <w:rPr>
          <w:rFonts w:ascii="Sylfaen" w:hAnsi="Sylfaen" w:cs="Sylfaen"/>
          <w:color w:val="000000"/>
          <w:sz w:val="24"/>
          <w:szCs w:val="24"/>
        </w:rPr>
      </w:pPr>
    </w:p>
    <w:p w:rsidR="00FA2EB2" w:rsidRPr="0014446C" w:rsidRDefault="0014446C" w:rsidP="005507B2">
      <w:pPr>
        <w:autoSpaceDE w:val="0"/>
        <w:autoSpaceDN w:val="0"/>
        <w:adjustRightInd w:val="0"/>
        <w:jc w:val="both"/>
        <w:rPr>
          <w:rFonts w:ascii="Sylfaen" w:hAnsi="Sylfaen" w:cs="Sylfaen"/>
          <w:color w:val="000000"/>
          <w:sz w:val="24"/>
          <w:szCs w:val="24"/>
        </w:rPr>
      </w:pPr>
      <w:r>
        <w:rPr>
          <w:rFonts w:ascii="Sylfaen" w:hAnsi="Sylfaen" w:cs="Sylfaen"/>
          <w:b/>
          <w:color w:val="000000"/>
          <w:sz w:val="24"/>
          <w:szCs w:val="24"/>
        </w:rPr>
        <w:t xml:space="preserve">Primary Health care - </w:t>
      </w:r>
      <w:r w:rsidRPr="00CF5446">
        <w:rPr>
          <w:rFonts w:ascii="Sylfaen" w:hAnsi="Sylfaen" w:cs="Sylfaen"/>
          <w:b/>
          <w:color w:val="000000"/>
          <w:sz w:val="24"/>
          <w:szCs w:val="24"/>
        </w:rPr>
        <w:t>integrated services delivery</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Country is supporting integrated services delivery in Primary Health Care (PHC) system as effective way for avoiding fragmentation, reducing duplication of effort, optimizing resource allocation and providing opportunities for sharing expertise and experience that can lead to better results for individuals and communities. </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t xml:space="preserve">In order to collectively address TB, HIV and Hepatitis C epidemics, the ministry with the Global fund support has initiated the integrated screening and diseases management program-“Three diseases under one umbrella”. The Global Fund support was directed at building capacity of primary care providers and mobilizing technical assistance for developing service protocols and training programs. </w:t>
      </w:r>
    </w:p>
    <w:p w:rsidR="0014446C" w:rsidRPr="0014446C" w:rsidRDefault="0014446C" w:rsidP="0014446C">
      <w:pPr>
        <w:autoSpaceDE w:val="0"/>
        <w:autoSpaceDN w:val="0"/>
        <w:adjustRightInd w:val="0"/>
        <w:jc w:val="both"/>
        <w:rPr>
          <w:rFonts w:ascii="Sylfaen" w:hAnsi="Sylfaen" w:cs="Sylfaen"/>
          <w:color w:val="000000"/>
          <w:sz w:val="24"/>
          <w:szCs w:val="24"/>
        </w:rPr>
      </w:pPr>
      <w:r w:rsidRPr="0014446C">
        <w:rPr>
          <w:rFonts w:ascii="Sylfaen" w:hAnsi="Sylfaen" w:cs="Sylfaen"/>
          <w:color w:val="000000"/>
          <w:sz w:val="24"/>
          <w:szCs w:val="24"/>
        </w:rPr>
        <w:lastRenderedPageBreak/>
        <w:t xml:space="preserve">Therefore, with strong political backing and Global Fund financing, it piloted an integrated testing and treatment program in primary care, drawing on community involvement and municipal leadership and supported by provider training and a major promotional campaign. The result is a decentralized public–private partnership that has increased HCV screening coverage by 60% in the pilot region. It has also led to a stronger health system and greater commitment to testing for and treating HIV and TB, as well as decreased stigma associated with all three diseases. The Ministry plans to further expand the integrated screening model countrywide and reflect all financial needs into state programs to ensure long term sustainability. </w:t>
      </w:r>
    </w:p>
    <w:p w:rsidR="0014446C" w:rsidRDefault="0014446C" w:rsidP="0014446C">
      <w:pPr>
        <w:autoSpaceDE w:val="0"/>
        <w:autoSpaceDN w:val="0"/>
        <w:adjustRightInd w:val="0"/>
        <w:jc w:val="both"/>
      </w:pPr>
    </w:p>
    <w:p w:rsidR="00773E14" w:rsidRDefault="00773E14" w:rsidP="0014446C">
      <w:pPr>
        <w:autoSpaceDE w:val="0"/>
        <w:autoSpaceDN w:val="0"/>
        <w:adjustRightInd w:val="0"/>
        <w:jc w:val="both"/>
        <w:rPr>
          <w:rFonts w:ascii="Sylfaen" w:hAnsi="Sylfaen" w:cs="Sylfaen"/>
          <w:b/>
          <w:color w:val="000000"/>
          <w:sz w:val="24"/>
          <w:szCs w:val="24"/>
        </w:rPr>
      </w:pPr>
      <w:r w:rsidRPr="00773E14">
        <w:rPr>
          <w:rFonts w:ascii="Sylfaen" w:hAnsi="Sylfaen" w:cs="Sylfaen"/>
          <w:b/>
          <w:color w:val="000000"/>
          <w:sz w:val="24"/>
          <w:szCs w:val="24"/>
        </w:rPr>
        <w:t>Invest more, invest better</w:t>
      </w:r>
    </w:p>
    <w:p w:rsidR="00773E14" w:rsidRDefault="000B2989" w:rsidP="000B2989">
      <w:pPr>
        <w:autoSpaceDE w:val="0"/>
        <w:autoSpaceDN w:val="0"/>
        <w:adjustRightInd w:val="0"/>
        <w:jc w:val="both"/>
        <w:rPr>
          <w:rFonts w:ascii="Sylfaen" w:hAnsi="Sylfaen" w:cs="Sylfaen"/>
          <w:color w:val="000000"/>
          <w:sz w:val="24"/>
          <w:szCs w:val="24"/>
        </w:rPr>
      </w:pPr>
      <w:r w:rsidRPr="000B2989">
        <w:rPr>
          <w:rFonts w:ascii="Sylfaen" w:hAnsi="Sylfaen" w:cs="Sylfaen"/>
          <w:color w:val="000000"/>
          <w:sz w:val="24"/>
          <w:szCs w:val="24"/>
        </w:rPr>
        <w:t>Since 2013, the Government of Georgia has laid the foundation for public health and welfare oriented health policy. Last years the state budget allocations for the health sector substantially increased (in 2012 - 450 million GEL; in 201</w:t>
      </w:r>
      <w:r>
        <w:rPr>
          <w:rFonts w:ascii="Sylfaen" w:hAnsi="Sylfaen" w:cs="Sylfaen"/>
          <w:color w:val="000000"/>
          <w:sz w:val="24"/>
          <w:szCs w:val="24"/>
        </w:rPr>
        <w:t>8</w:t>
      </w:r>
      <w:r w:rsidRPr="000B2989">
        <w:rPr>
          <w:rFonts w:ascii="Sylfaen" w:hAnsi="Sylfaen" w:cs="Sylfaen"/>
          <w:color w:val="000000"/>
          <w:sz w:val="24"/>
          <w:szCs w:val="24"/>
        </w:rPr>
        <w:t xml:space="preserve"> - </w:t>
      </w:r>
      <w:r>
        <w:rPr>
          <w:rFonts w:ascii="Sylfaen" w:hAnsi="Sylfaen" w:cs="Sylfaen"/>
          <w:color w:val="000000"/>
          <w:sz w:val="24"/>
          <w:szCs w:val="24"/>
        </w:rPr>
        <w:t>1153</w:t>
      </w:r>
      <w:r w:rsidRPr="000B2989">
        <w:rPr>
          <w:rFonts w:ascii="Sylfaen" w:hAnsi="Sylfaen" w:cs="Sylfaen"/>
          <w:color w:val="000000"/>
          <w:sz w:val="24"/>
          <w:szCs w:val="24"/>
        </w:rPr>
        <w:t xml:space="preserve"> million GEL). State expenditure on health, as a share of the GDP is growing annually (in 2012 - 1.7%, in 201</w:t>
      </w:r>
      <w:r>
        <w:rPr>
          <w:rFonts w:ascii="Sylfaen" w:hAnsi="Sylfaen" w:cs="Sylfaen"/>
          <w:color w:val="000000"/>
          <w:sz w:val="24"/>
          <w:szCs w:val="24"/>
        </w:rPr>
        <w:t>8</w:t>
      </w:r>
      <w:r w:rsidRPr="000B2989">
        <w:rPr>
          <w:rFonts w:ascii="Sylfaen" w:hAnsi="Sylfaen" w:cs="Sylfaen"/>
          <w:color w:val="000000"/>
          <w:sz w:val="24"/>
          <w:szCs w:val="24"/>
        </w:rPr>
        <w:t xml:space="preserve"> </w:t>
      </w:r>
      <w:r>
        <w:rPr>
          <w:rFonts w:ascii="Sylfaen" w:hAnsi="Sylfaen" w:cs="Sylfaen"/>
          <w:color w:val="000000"/>
          <w:sz w:val="24"/>
          <w:szCs w:val="24"/>
        </w:rPr>
        <w:t>– 3</w:t>
      </w:r>
      <w:r w:rsidRPr="000B2989">
        <w:rPr>
          <w:rFonts w:ascii="Sylfaen" w:hAnsi="Sylfaen" w:cs="Sylfaen"/>
          <w:color w:val="000000"/>
          <w:sz w:val="24"/>
          <w:szCs w:val="24"/>
        </w:rPr>
        <w:t>%), although, this share is still lower than in the Western Europe (EU15) - 8%, EU (EU28) – 7.3%, and the average for European 53 countries – 5.7%.  The share of the out-of-pocket payments in total health expenditures has</w:t>
      </w:r>
      <w:r>
        <w:rPr>
          <w:rFonts w:ascii="Sylfaen" w:hAnsi="Sylfaen" w:cs="Sylfaen"/>
          <w:color w:val="000000"/>
          <w:sz w:val="24"/>
          <w:szCs w:val="24"/>
        </w:rPr>
        <w:t xml:space="preserve"> </w:t>
      </w:r>
      <w:r w:rsidRPr="000B2989">
        <w:rPr>
          <w:rFonts w:ascii="Sylfaen" w:hAnsi="Sylfaen" w:cs="Sylfaen"/>
          <w:color w:val="000000"/>
          <w:sz w:val="24"/>
          <w:szCs w:val="24"/>
        </w:rPr>
        <w:t>significantly decreased from 73% (in 2012) to 56% (in 2016), mainly due to the l</w:t>
      </w:r>
      <w:r>
        <w:rPr>
          <w:rFonts w:ascii="Sylfaen" w:hAnsi="Sylfaen" w:cs="Sylfaen"/>
          <w:color w:val="000000"/>
          <w:sz w:val="24"/>
          <w:szCs w:val="24"/>
        </w:rPr>
        <w:t xml:space="preserve">ower cost </w:t>
      </w:r>
      <w:r w:rsidRPr="000B2989">
        <w:rPr>
          <w:rFonts w:ascii="Sylfaen" w:hAnsi="Sylfaen" w:cs="Sylfaen"/>
          <w:color w:val="000000"/>
          <w:sz w:val="24"/>
          <w:szCs w:val="24"/>
        </w:rPr>
        <w:t>of hospitalization, which is a direct consequence of the universal healthcare program.</w:t>
      </w:r>
    </w:p>
    <w:p w:rsidR="00815AA8" w:rsidRDefault="00815AA8" w:rsidP="000B2989">
      <w:pPr>
        <w:autoSpaceDE w:val="0"/>
        <w:autoSpaceDN w:val="0"/>
        <w:adjustRightInd w:val="0"/>
        <w:jc w:val="both"/>
        <w:rPr>
          <w:rFonts w:ascii="Sylfaen" w:hAnsi="Sylfaen" w:cs="Sylfaen"/>
          <w:color w:val="000000"/>
          <w:sz w:val="24"/>
          <w:szCs w:val="24"/>
        </w:rPr>
      </w:pPr>
    </w:p>
    <w:p w:rsidR="00815AA8" w:rsidRPr="00815AA8" w:rsidRDefault="00815AA8" w:rsidP="000B2989">
      <w:pPr>
        <w:autoSpaceDE w:val="0"/>
        <w:autoSpaceDN w:val="0"/>
        <w:adjustRightInd w:val="0"/>
        <w:jc w:val="both"/>
        <w:rPr>
          <w:rFonts w:ascii="Sylfaen" w:hAnsi="Sylfaen" w:cs="Sylfaen"/>
          <w:b/>
          <w:color w:val="000000"/>
          <w:sz w:val="24"/>
          <w:szCs w:val="24"/>
        </w:rPr>
      </w:pPr>
      <w:r w:rsidRPr="00815AA8">
        <w:rPr>
          <w:rFonts w:ascii="Sylfaen" w:hAnsi="Sylfaen" w:cs="Sylfaen"/>
          <w:b/>
          <w:color w:val="000000"/>
          <w:sz w:val="24"/>
          <w:szCs w:val="24"/>
        </w:rPr>
        <w:t>E-Health</w:t>
      </w:r>
    </w:p>
    <w:p w:rsidR="00F75486" w:rsidRPr="00815AA8" w:rsidRDefault="00815AA8" w:rsidP="000B2989">
      <w:pPr>
        <w:autoSpaceDE w:val="0"/>
        <w:autoSpaceDN w:val="0"/>
        <w:adjustRightInd w:val="0"/>
        <w:jc w:val="both"/>
        <w:rPr>
          <w:rFonts w:ascii="Sylfaen" w:hAnsi="Sylfaen" w:cs="Sylfaen"/>
          <w:color w:val="000000"/>
          <w:sz w:val="24"/>
          <w:szCs w:val="24"/>
        </w:rPr>
      </w:pPr>
      <w:r w:rsidRPr="00815AA8">
        <w:rPr>
          <w:rFonts w:ascii="Sylfaen" w:hAnsi="Sylfaen" w:cs="Sylfaen"/>
          <w:color w:val="000000"/>
          <w:sz w:val="24"/>
          <w:szCs w:val="24"/>
        </w:rPr>
        <w:t>Development of the health information systems (HIS) in the country is based on the principals of the modern healthcare practice, supported by electronic processes and communication (eHealth). , in 2014, a new case-based electronic hospital discharge reporting system was developed. Implementation of the system, enables a deeper data analysis and presentation, creating a basis for evidence-based decisions. In 2016, a similar case-based electronic reporting system for primary health care institutions was implemented throughout the country.</w:t>
      </w:r>
    </w:p>
    <w:p w:rsidR="00815AA8" w:rsidRDefault="00815AA8" w:rsidP="00815AA8">
      <w:pPr>
        <w:autoSpaceDE w:val="0"/>
        <w:autoSpaceDN w:val="0"/>
        <w:adjustRightInd w:val="0"/>
        <w:jc w:val="both"/>
        <w:rPr>
          <w:rFonts w:ascii="Sylfaen" w:hAnsi="Sylfaen" w:cs="Sylfaen"/>
          <w:color w:val="000000"/>
          <w:sz w:val="24"/>
          <w:szCs w:val="24"/>
        </w:rPr>
      </w:pPr>
      <w:r w:rsidRPr="00815AA8">
        <w:rPr>
          <w:rFonts w:ascii="Sylfaen" w:hAnsi="Sylfaen" w:cs="Sylfaen"/>
          <w:color w:val="000000"/>
          <w:sz w:val="24"/>
          <w:szCs w:val="24"/>
        </w:rPr>
        <w:t xml:space="preserve">In 2015, Population-based Cancer Registry, which is an organized system for collecting, storing, analyzing, interpreting and presenting the cancer data, was implemented. Using this type of registry is important for cancer control programs’ assessment, for the defining and planning priority interventions, for cancer screening and for proper implementation other </w:t>
      </w:r>
      <w:r w:rsidRPr="00815AA8">
        <w:rPr>
          <w:rFonts w:ascii="Sylfaen" w:hAnsi="Sylfaen" w:cs="Sylfaen"/>
          <w:color w:val="000000"/>
          <w:sz w:val="24"/>
          <w:szCs w:val="24"/>
        </w:rPr>
        <w:lastRenderedPageBreak/>
        <w:t xml:space="preserve">preventive measures, as well as for evaluation of the service effectiveness to determine the oncological patients’ medical care dynamic observation.  </w:t>
      </w:r>
    </w:p>
    <w:p w:rsidR="00815AA8" w:rsidRDefault="00815AA8" w:rsidP="00815AA8">
      <w:pPr>
        <w:autoSpaceDE w:val="0"/>
        <w:autoSpaceDN w:val="0"/>
        <w:adjustRightInd w:val="0"/>
        <w:jc w:val="both"/>
        <w:rPr>
          <w:rFonts w:ascii="Sylfaen" w:hAnsi="Sylfaen" w:cs="Sylfaen"/>
          <w:color w:val="000000"/>
          <w:sz w:val="24"/>
          <w:szCs w:val="24"/>
        </w:rPr>
      </w:pPr>
      <w:r w:rsidRPr="005507B2">
        <w:rPr>
          <w:rFonts w:ascii="Sylfaen" w:hAnsi="Sylfaen" w:cs="Sylfaen"/>
          <w:color w:val="000000"/>
          <w:sz w:val="24"/>
          <w:szCs w:val="24"/>
        </w:rPr>
        <w:t>In 2016, MoLHSA in alliance with NCDC launched the nationwide electronic registry “Mother’s and neonate’s health surveillance system”, so called “Georgian Birth Registry” (GBR). The system tracks information on all cases of pregnancy, delivery, postpartum, neonatal care and abortion.</w:t>
      </w:r>
    </w:p>
    <w:p w:rsidR="0007414D" w:rsidRDefault="0007414D" w:rsidP="0007414D">
      <w:pPr>
        <w:autoSpaceDE w:val="0"/>
        <w:autoSpaceDN w:val="0"/>
        <w:adjustRightInd w:val="0"/>
        <w:jc w:val="both"/>
        <w:rPr>
          <w:rFonts w:ascii="Sylfaen" w:hAnsi="Sylfaen" w:cs="Sylfaen"/>
          <w:color w:val="000000"/>
          <w:sz w:val="24"/>
          <w:szCs w:val="24"/>
        </w:rPr>
      </w:pPr>
      <w:r w:rsidRPr="0007414D">
        <w:rPr>
          <w:rFonts w:ascii="Sylfaen" w:hAnsi="Sylfaen" w:cs="Sylfaen"/>
          <w:color w:val="000000"/>
          <w:sz w:val="24"/>
          <w:szCs w:val="24"/>
        </w:rPr>
        <w:t>Since 2017, a system of E-prescription was also implemented. Implementation measures for electronic recipe continue to these date and are directed towards its mandatory use (full replacement of paper forms). Since February 2018, the obligation to  submit  only electronically recipes, have hospital facilities and co-existing outpatient clinics,  located in Tbilisi, which, et the same time, are health care providers within the Universal State Healthcare Programm.</w:t>
      </w:r>
    </w:p>
    <w:p w:rsidR="0007414D" w:rsidRPr="0007414D" w:rsidRDefault="0007414D" w:rsidP="0007414D">
      <w:pPr>
        <w:autoSpaceDE w:val="0"/>
        <w:autoSpaceDN w:val="0"/>
        <w:adjustRightInd w:val="0"/>
        <w:jc w:val="both"/>
        <w:rPr>
          <w:rFonts w:ascii="Sylfaen" w:hAnsi="Sylfaen" w:cs="Sylfaen"/>
          <w:color w:val="000000"/>
          <w:sz w:val="24"/>
          <w:szCs w:val="24"/>
        </w:rPr>
      </w:pPr>
      <w:r w:rsidRPr="0007414D">
        <w:rPr>
          <w:rFonts w:ascii="Sylfaen" w:hAnsi="Sylfaen" w:cs="Sylfaen"/>
          <w:color w:val="000000"/>
          <w:sz w:val="24"/>
          <w:szCs w:val="24"/>
        </w:rPr>
        <w:t>In 2017, has started work on a new, innovative electronic healthcare system EHR – Electronic Health Record.   Implementation process of EHR was start from January 2019.</w:t>
      </w:r>
    </w:p>
    <w:p w:rsidR="0094144D" w:rsidRPr="0094144D" w:rsidRDefault="0094144D" w:rsidP="0094144D">
      <w:pPr>
        <w:autoSpaceDE w:val="0"/>
        <w:autoSpaceDN w:val="0"/>
        <w:adjustRightInd w:val="0"/>
        <w:jc w:val="both"/>
        <w:rPr>
          <w:rFonts w:ascii="Sylfaen" w:hAnsi="Sylfaen" w:cs="Sylfaen"/>
          <w:color w:val="000000"/>
          <w:sz w:val="24"/>
          <w:szCs w:val="24"/>
        </w:rPr>
      </w:pPr>
      <w:r w:rsidRPr="0094144D">
        <w:rPr>
          <w:rFonts w:ascii="Sylfaen" w:hAnsi="Sylfaen" w:cs="Sylfaen"/>
          <w:color w:val="000000"/>
          <w:sz w:val="24"/>
          <w:szCs w:val="24"/>
        </w:rPr>
        <w:t>Georgia is a member of the European Health Information Initiative (EHII), which is a WHO network committed to improve the information that underpins health policies.</w:t>
      </w:r>
    </w:p>
    <w:sectPr w:rsidR="0094144D" w:rsidRPr="009414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89C" w:rsidRDefault="0077489C" w:rsidP="00773E14">
      <w:pPr>
        <w:spacing w:after="0" w:line="240" w:lineRule="auto"/>
      </w:pPr>
      <w:r>
        <w:separator/>
      </w:r>
    </w:p>
  </w:endnote>
  <w:endnote w:type="continuationSeparator" w:id="0">
    <w:p w:rsidR="0077489C" w:rsidRDefault="0077489C" w:rsidP="00773E14">
      <w:pPr>
        <w:spacing w:after="0" w:line="240" w:lineRule="auto"/>
      </w:pPr>
      <w:r>
        <w:continuationSeparator/>
      </w:r>
    </w:p>
  </w:endnote>
  <w:endnote w:id="1">
    <w:p w:rsidR="00773E14" w:rsidRPr="005238EF" w:rsidRDefault="00773E14" w:rsidP="00773E14">
      <w:pPr>
        <w:spacing w:after="0" w:line="240" w:lineRule="aut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89C" w:rsidRDefault="0077489C" w:rsidP="00773E14">
      <w:pPr>
        <w:spacing w:after="0" w:line="240" w:lineRule="auto"/>
      </w:pPr>
      <w:r>
        <w:separator/>
      </w:r>
    </w:p>
  </w:footnote>
  <w:footnote w:type="continuationSeparator" w:id="0">
    <w:p w:rsidR="0077489C" w:rsidRDefault="0077489C" w:rsidP="00773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3" w15:restartNumberingAfterBreak="0">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0A"/>
    <w:rsid w:val="0007414D"/>
    <w:rsid w:val="00091CEC"/>
    <w:rsid w:val="000B2989"/>
    <w:rsid w:val="00101EE6"/>
    <w:rsid w:val="0014446C"/>
    <w:rsid w:val="00174DEA"/>
    <w:rsid w:val="001C6F97"/>
    <w:rsid w:val="00271658"/>
    <w:rsid w:val="0027695A"/>
    <w:rsid w:val="00483FEC"/>
    <w:rsid w:val="004A7833"/>
    <w:rsid w:val="005507B2"/>
    <w:rsid w:val="005D4441"/>
    <w:rsid w:val="006659F9"/>
    <w:rsid w:val="0069561E"/>
    <w:rsid w:val="00773E14"/>
    <w:rsid w:val="0077489C"/>
    <w:rsid w:val="00782D3F"/>
    <w:rsid w:val="00815AA8"/>
    <w:rsid w:val="009204F9"/>
    <w:rsid w:val="0094144D"/>
    <w:rsid w:val="00A65952"/>
    <w:rsid w:val="00B5035E"/>
    <w:rsid w:val="00C70B6C"/>
    <w:rsid w:val="00CB3CC2"/>
    <w:rsid w:val="00CE1CC6"/>
    <w:rsid w:val="00CF4A8C"/>
    <w:rsid w:val="00CF5446"/>
    <w:rsid w:val="00D362A2"/>
    <w:rsid w:val="00D43E5F"/>
    <w:rsid w:val="00D662DD"/>
    <w:rsid w:val="00E23B18"/>
    <w:rsid w:val="00E80DAD"/>
    <w:rsid w:val="00EC2353"/>
    <w:rsid w:val="00EC400A"/>
    <w:rsid w:val="00F72F45"/>
    <w:rsid w:val="00F75486"/>
    <w:rsid w:val="00FA2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1D3B9-6AAC-4FB6-8FBE-6ED35D6A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 w:type="character" w:styleId="EndnoteReference">
    <w:name w:val="endnote reference"/>
    <w:uiPriority w:val="99"/>
    <w:semiHidden/>
    <w:unhideWhenUsed/>
    <w:rsid w:val="00773E14"/>
    <w:rPr>
      <w:vertAlign w:val="superscript"/>
    </w:rPr>
  </w:style>
  <w:style w:type="character" w:customStyle="1" w:styleId="tp-label">
    <w:name w:val="tp-label"/>
    <w:rsid w:val="00773E14"/>
  </w:style>
  <w:style w:type="table" w:customStyle="1" w:styleId="TableGrid">
    <w:name w:val="TableGrid"/>
    <w:rsid w:val="0027695A"/>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2020-07-10T18:08:00Z</dcterms:created>
  <dcterms:modified xsi:type="dcterms:W3CDTF">2020-07-10T18:08:00Z</dcterms:modified>
</cp:coreProperties>
</file>